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iCs/>
          <w:sz w:val="24"/>
        </w:rPr>
        <w:t xml:space="preserve">Возможности гештальт-подхода в работе с детьми и подростками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44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в размере </w:t>
      </w:r>
      <w:r>
        <w:rPr>
          <w:rFonts w:ascii="Times New Roman" w:hAnsi="Times New Roman"/>
          <w:sz w:val="24"/>
          <w:szCs w:val="24"/>
        </w:rPr>
        <w:t xml:space="preserve">70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обучение, </w:t>
      </w:r>
      <w:r>
        <w:rPr>
          <w:rFonts w:ascii="Times New Roman" w:hAnsi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70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не позднее 2-х недель до начала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Полная стоимость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table" w:styleId="626">
    <w:name w:val="Table Grid"/>
    <w:basedOn w:val="62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43</cp:revision>
  <dcterms:created xsi:type="dcterms:W3CDTF">2021-11-11T04:08:00Z</dcterms:created>
  <dcterms:modified xsi:type="dcterms:W3CDTF">2026-04-29T05:11:03Z</dcterms:modified>
</cp:coreProperties>
</file>